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4763" w14:textId="77777777" w:rsidR="00FE2E33" w:rsidRPr="003B6832" w:rsidRDefault="00FE2E33" w:rsidP="003B6832">
      <w:pPr>
        <w:jc w:val="center"/>
        <w:rPr>
          <w:rFonts w:ascii="Times New Roman" w:hAnsi="Times New Roman" w:cs="Times New Roman"/>
          <w:b/>
          <w:bCs/>
          <w:sz w:val="28"/>
          <w:szCs w:val="28"/>
        </w:rPr>
      </w:pPr>
      <w:r w:rsidRPr="003B6832">
        <w:rPr>
          <w:rFonts w:ascii="Times New Roman" w:hAnsi="Times New Roman" w:cs="Times New Roman"/>
          <w:b/>
          <w:bCs/>
          <w:sz w:val="28"/>
          <w:szCs w:val="28"/>
        </w:rPr>
        <w:t>ПОРЯДОК ПОДАННЯ ТА РОЗГЛЯДУ (З ДОТРИМАННЯМ КОНФІДЕНЦІЙНОСТІ) ЗАЯВ ПРО ВИПАДКИ БУЛІНГУ (ЦЬКУВАННЯ) В ЗАКЛАДІ ОСВІТИ</w:t>
      </w:r>
    </w:p>
    <w:p w14:paraId="78245BC8" w14:textId="77777777" w:rsidR="00FE2E33" w:rsidRPr="003B6832" w:rsidRDefault="00FE2E33" w:rsidP="00FE2E33">
      <w:pPr>
        <w:rPr>
          <w:rFonts w:ascii="Times New Roman" w:hAnsi="Times New Roman" w:cs="Times New Roman"/>
          <w:sz w:val="28"/>
          <w:szCs w:val="28"/>
        </w:rPr>
      </w:pPr>
      <w:r w:rsidRPr="003B6832">
        <w:rPr>
          <w:rFonts w:ascii="Times New Roman" w:hAnsi="Times New Roman" w:cs="Times New Roman"/>
          <w:sz w:val="28"/>
          <w:szCs w:val="28"/>
        </w:rPr>
        <w:t> </w:t>
      </w:r>
    </w:p>
    <w:p w14:paraId="25E1F80D" w14:textId="26001EEF" w:rsidR="00FE2E33" w:rsidRPr="007B1D38" w:rsidRDefault="003B6832" w:rsidP="007B1D38">
      <w:pPr>
        <w:pStyle w:val="a5"/>
        <w:rPr>
          <w:rFonts w:ascii="Times New Roman" w:hAnsi="Times New Roman" w:cs="Times New Roman"/>
          <w:sz w:val="24"/>
          <w:szCs w:val="24"/>
        </w:rPr>
      </w:pPr>
      <w:r w:rsidRPr="007B1D38">
        <w:t xml:space="preserve">                                                                                    </w:t>
      </w:r>
      <w:r w:rsidR="007B1D38">
        <w:t xml:space="preserve">                               </w:t>
      </w:r>
      <w:r w:rsidR="00FE2E33" w:rsidRPr="007B1D38">
        <w:rPr>
          <w:rFonts w:ascii="Times New Roman" w:hAnsi="Times New Roman" w:cs="Times New Roman"/>
          <w:sz w:val="24"/>
          <w:szCs w:val="24"/>
        </w:rPr>
        <w:t>ЗАТВЕРДЖУЮ</w:t>
      </w:r>
    </w:p>
    <w:p w14:paraId="68F5CFE1" w14:textId="72EE3898" w:rsidR="00FE2E33" w:rsidRPr="007B1D38" w:rsidRDefault="003B6832" w:rsidP="007B1D38">
      <w:pPr>
        <w:pStyle w:val="a5"/>
        <w:rPr>
          <w:rFonts w:ascii="Times New Roman" w:hAnsi="Times New Roman" w:cs="Times New Roman"/>
          <w:sz w:val="24"/>
          <w:szCs w:val="24"/>
        </w:rPr>
      </w:pPr>
      <w:r w:rsidRPr="007B1D38">
        <w:rPr>
          <w:rFonts w:ascii="Times New Roman" w:hAnsi="Times New Roman" w:cs="Times New Roman"/>
          <w:sz w:val="24"/>
          <w:szCs w:val="24"/>
        </w:rPr>
        <w:t xml:space="preserve">                                                                                   </w:t>
      </w:r>
      <w:r w:rsidR="007B1D38">
        <w:rPr>
          <w:rFonts w:ascii="Times New Roman" w:hAnsi="Times New Roman" w:cs="Times New Roman"/>
          <w:sz w:val="24"/>
          <w:szCs w:val="24"/>
        </w:rPr>
        <w:t xml:space="preserve">           </w:t>
      </w:r>
      <w:r w:rsidRPr="007B1D38">
        <w:rPr>
          <w:rFonts w:ascii="Times New Roman" w:hAnsi="Times New Roman" w:cs="Times New Roman"/>
          <w:sz w:val="24"/>
          <w:szCs w:val="24"/>
        </w:rPr>
        <w:t xml:space="preserve"> </w:t>
      </w:r>
      <w:r w:rsidR="00FE2E33" w:rsidRPr="007B1D38">
        <w:rPr>
          <w:rFonts w:ascii="Times New Roman" w:hAnsi="Times New Roman" w:cs="Times New Roman"/>
          <w:sz w:val="24"/>
          <w:szCs w:val="24"/>
        </w:rPr>
        <w:t xml:space="preserve">Ректор КНЗ </w:t>
      </w:r>
      <w:r w:rsidRPr="007B1D38">
        <w:rPr>
          <w:rFonts w:ascii="Times New Roman" w:hAnsi="Times New Roman" w:cs="Times New Roman"/>
          <w:sz w:val="24"/>
          <w:szCs w:val="24"/>
        </w:rPr>
        <w:t xml:space="preserve">КОР </w:t>
      </w:r>
      <w:r w:rsidR="00FE2E33" w:rsidRPr="007B1D38">
        <w:rPr>
          <w:rFonts w:ascii="Times New Roman" w:hAnsi="Times New Roman" w:cs="Times New Roman"/>
          <w:sz w:val="24"/>
          <w:szCs w:val="24"/>
        </w:rPr>
        <w:t>«</w:t>
      </w:r>
      <w:r w:rsidRPr="007B1D38">
        <w:rPr>
          <w:rFonts w:ascii="Times New Roman" w:hAnsi="Times New Roman" w:cs="Times New Roman"/>
          <w:sz w:val="24"/>
          <w:szCs w:val="24"/>
        </w:rPr>
        <w:t>КОІПОПК</w:t>
      </w:r>
      <w:r w:rsidR="00FE2E33" w:rsidRPr="007B1D38">
        <w:rPr>
          <w:rFonts w:ascii="Times New Roman" w:hAnsi="Times New Roman" w:cs="Times New Roman"/>
          <w:sz w:val="24"/>
          <w:szCs w:val="24"/>
        </w:rPr>
        <w:t>»</w:t>
      </w:r>
    </w:p>
    <w:p w14:paraId="3934DDAE" w14:textId="5EE7FAB8" w:rsidR="00FE2E33" w:rsidRPr="007B1D38" w:rsidRDefault="00FE2E33" w:rsidP="007B1D38">
      <w:pPr>
        <w:pStyle w:val="a5"/>
        <w:rPr>
          <w:rFonts w:ascii="Times New Roman" w:hAnsi="Times New Roman" w:cs="Times New Roman"/>
          <w:sz w:val="24"/>
          <w:szCs w:val="24"/>
        </w:rPr>
      </w:pPr>
      <w:r w:rsidRPr="007B1D38">
        <w:rPr>
          <w:rFonts w:ascii="Times New Roman" w:hAnsi="Times New Roman" w:cs="Times New Roman"/>
          <w:sz w:val="24"/>
          <w:szCs w:val="24"/>
        </w:rPr>
        <w:t> </w:t>
      </w:r>
      <w:r w:rsidR="003B6832" w:rsidRPr="007B1D38">
        <w:rPr>
          <w:rFonts w:ascii="Times New Roman" w:hAnsi="Times New Roman" w:cs="Times New Roman"/>
          <w:sz w:val="24"/>
          <w:szCs w:val="24"/>
        </w:rPr>
        <w:t xml:space="preserve">                                                                                   </w:t>
      </w:r>
      <w:r w:rsidR="007B1D38">
        <w:rPr>
          <w:rFonts w:ascii="Times New Roman" w:hAnsi="Times New Roman" w:cs="Times New Roman"/>
          <w:sz w:val="24"/>
          <w:szCs w:val="24"/>
        </w:rPr>
        <w:t xml:space="preserve">           </w:t>
      </w:r>
      <w:r w:rsidR="003B6832" w:rsidRPr="007B1D38">
        <w:rPr>
          <w:rFonts w:ascii="Times New Roman" w:hAnsi="Times New Roman" w:cs="Times New Roman"/>
          <w:sz w:val="24"/>
          <w:szCs w:val="24"/>
        </w:rPr>
        <w:t>Віра РОГОВА</w:t>
      </w:r>
    </w:p>
    <w:p w14:paraId="3C29281D" w14:textId="0F342E5B" w:rsidR="00FE2E33" w:rsidRDefault="003B6832" w:rsidP="007B1D38">
      <w:pPr>
        <w:pStyle w:val="a5"/>
        <w:rPr>
          <w:rFonts w:ascii="Times New Roman" w:hAnsi="Times New Roman" w:cs="Times New Roman"/>
          <w:sz w:val="24"/>
          <w:szCs w:val="24"/>
        </w:rPr>
      </w:pPr>
      <w:r w:rsidRPr="007B1D38">
        <w:rPr>
          <w:rFonts w:ascii="Times New Roman" w:hAnsi="Times New Roman" w:cs="Times New Roman"/>
          <w:sz w:val="24"/>
          <w:szCs w:val="24"/>
        </w:rPr>
        <w:t xml:space="preserve">                                                                                    </w:t>
      </w:r>
      <w:r w:rsidR="007B1D38">
        <w:rPr>
          <w:rFonts w:ascii="Times New Roman" w:hAnsi="Times New Roman" w:cs="Times New Roman"/>
          <w:sz w:val="24"/>
          <w:szCs w:val="24"/>
        </w:rPr>
        <w:t xml:space="preserve">          </w:t>
      </w:r>
      <w:r w:rsidR="00FE2E33" w:rsidRPr="007B1D38">
        <w:rPr>
          <w:rFonts w:ascii="Times New Roman" w:hAnsi="Times New Roman" w:cs="Times New Roman"/>
          <w:sz w:val="24"/>
          <w:szCs w:val="24"/>
        </w:rPr>
        <w:t>«</w:t>
      </w:r>
      <w:r w:rsidR="00FE2E33" w:rsidRPr="007B1D38">
        <w:rPr>
          <w:rFonts w:ascii="Times New Roman" w:hAnsi="Times New Roman" w:cs="Times New Roman"/>
          <w:sz w:val="24"/>
          <w:szCs w:val="24"/>
          <w:u w:val="single"/>
        </w:rPr>
        <w:t>06</w:t>
      </w:r>
      <w:r w:rsidR="00FE2E33" w:rsidRPr="007B1D38">
        <w:rPr>
          <w:rFonts w:ascii="Times New Roman" w:hAnsi="Times New Roman" w:cs="Times New Roman"/>
          <w:sz w:val="24"/>
          <w:szCs w:val="24"/>
        </w:rPr>
        <w:t>» </w:t>
      </w:r>
      <w:r w:rsidRPr="007B1D38">
        <w:rPr>
          <w:rFonts w:ascii="Times New Roman" w:hAnsi="Times New Roman" w:cs="Times New Roman"/>
          <w:sz w:val="24"/>
          <w:szCs w:val="24"/>
          <w:u w:val="single"/>
        </w:rPr>
        <w:t>лютого</w:t>
      </w:r>
      <w:r w:rsidR="00FE2E33" w:rsidRPr="007B1D38">
        <w:rPr>
          <w:rFonts w:ascii="Times New Roman" w:hAnsi="Times New Roman" w:cs="Times New Roman"/>
          <w:sz w:val="24"/>
          <w:szCs w:val="24"/>
        </w:rPr>
        <w:t> 202</w:t>
      </w:r>
      <w:r w:rsidRPr="007B1D38">
        <w:rPr>
          <w:rFonts w:ascii="Times New Roman" w:hAnsi="Times New Roman" w:cs="Times New Roman"/>
          <w:sz w:val="24"/>
          <w:szCs w:val="24"/>
        </w:rPr>
        <w:t>4</w:t>
      </w:r>
      <w:r w:rsidR="00FE2E33" w:rsidRPr="007B1D38">
        <w:rPr>
          <w:rFonts w:ascii="Times New Roman" w:hAnsi="Times New Roman" w:cs="Times New Roman"/>
          <w:sz w:val="24"/>
          <w:szCs w:val="24"/>
        </w:rPr>
        <w:t xml:space="preserve"> року</w:t>
      </w:r>
    </w:p>
    <w:p w14:paraId="5FE31B25" w14:textId="77777777" w:rsidR="007B1D38" w:rsidRPr="007B1D38" w:rsidRDefault="007B1D38" w:rsidP="007B1D38">
      <w:pPr>
        <w:pStyle w:val="a5"/>
        <w:rPr>
          <w:rFonts w:ascii="Times New Roman" w:hAnsi="Times New Roman" w:cs="Times New Roman"/>
          <w:sz w:val="24"/>
          <w:szCs w:val="24"/>
        </w:rPr>
      </w:pPr>
    </w:p>
    <w:p w14:paraId="11F4BA74" w14:textId="281500DF" w:rsidR="00FE2E33" w:rsidRPr="003B6832" w:rsidRDefault="00FE2E33" w:rsidP="003B6832">
      <w:pPr>
        <w:jc w:val="center"/>
        <w:rPr>
          <w:rFonts w:ascii="Times New Roman" w:hAnsi="Times New Roman" w:cs="Times New Roman"/>
          <w:sz w:val="28"/>
          <w:szCs w:val="28"/>
        </w:rPr>
      </w:pPr>
      <w:r w:rsidRPr="003B6832">
        <w:rPr>
          <w:rFonts w:ascii="Times New Roman" w:hAnsi="Times New Roman" w:cs="Times New Roman"/>
          <w:b/>
          <w:bCs/>
          <w:sz w:val="28"/>
          <w:szCs w:val="28"/>
        </w:rPr>
        <w:t>ПОРЯДОК</w:t>
      </w:r>
      <w:r w:rsidR="00E47E93">
        <w:rPr>
          <w:rFonts w:ascii="Times New Roman" w:hAnsi="Times New Roman" w:cs="Times New Roman"/>
          <w:b/>
          <w:bCs/>
          <w:sz w:val="28"/>
          <w:szCs w:val="28"/>
        </w:rPr>
        <w:t xml:space="preserve"> </w:t>
      </w:r>
      <w:r w:rsidRPr="003B6832">
        <w:rPr>
          <w:rFonts w:ascii="Times New Roman" w:hAnsi="Times New Roman" w:cs="Times New Roman"/>
          <w:b/>
          <w:bCs/>
          <w:sz w:val="28"/>
          <w:szCs w:val="28"/>
        </w:rPr>
        <w:t>подання та розгляду заяв про випадки булінгу/мобінгу</w:t>
      </w:r>
      <w:r w:rsidR="00E47E93">
        <w:rPr>
          <w:rFonts w:ascii="Times New Roman" w:hAnsi="Times New Roman" w:cs="Times New Roman"/>
          <w:b/>
          <w:bCs/>
          <w:sz w:val="28"/>
          <w:szCs w:val="28"/>
        </w:rPr>
        <w:t xml:space="preserve"> </w:t>
      </w:r>
      <w:r w:rsidRPr="003B6832">
        <w:rPr>
          <w:rFonts w:ascii="Times New Roman" w:hAnsi="Times New Roman" w:cs="Times New Roman"/>
          <w:b/>
          <w:bCs/>
          <w:sz w:val="28"/>
          <w:szCs w:val="28"/>
        </w:rPr>
        <w:t>в комунальному навчальному закладі</w:t>
      </w:r>
      <w:r w:rsidR="00E47E93">
        <w:rPr>
          <w:rFonts w:ascii="Times New Roman" w:hAnsi="Times New Roman" w:cs="Times New Roman"/>
          <w:b/>
          <w:bCs/>
          <w:sz w:val="28"/>
          <w:szCs w:val="28"/>
        </w:rPr>
        <w:t xml:space="preserve"> </w:t>
      </w:r>
      <w:r w:rsidR="003B6832" w:rsidRPr="003B6832">
        <w:rPr>
          <w:rFonts w:ascii="Times New Roman" w:hAnsi="Times New Roman" w:cs="Times New Roman"/>
          <w:b/>
          <w:bCs/>
          <w:sz w:val="28"/>
          <w:szCs w:val="28"/>
        </w:rPr>
        <w:t xml:space="preserve">Київської обласної ради </w:t>
      </w:r>
      <w:r w:rsidRPr="003B6832">
        <w:rPr>
          <w:rFonts w:ascii="Times New Roman" w:hAnsi="Times New Roman" w:cs="Times New Roman"/>
          <w:b/>
          <w:bCs/>
          <w:sz w:val="28"/>
          <w:szCs w:val="28"/>
        </w:rPr>
        <w:t>«</w:t>
      </w:r>
      <w:r w:rsidR="003B6832" w:rsidRPr="003B6832">
        <w:rPr>
          <w:rFonts w:ascii="Times New Roman" w:hAnsi="Times New Roman" w:cs="Times New Roman"/>
          <w:b/>
          <w:bCs/>
          <w:sz w:val="28"/>
          <w:szCs w:val="28"/>
        </w:rPr>
        <w:t>Київський</w:t>
      </w:r>
      <w:r w:rsidRPr="003B6832">
        <w:rPr>
          <w:rFonts w:ascii="Times New Roman" w:hAnsi="Times New Roman" w:cs="Times New Roman"/>
          <w:b/>
          <w:bCs/>
          <w:sz w:val="28"/>
          <w:szCs w:val="28"/>
        </w:rPr>
        <w:t xml:space="preserve"> обласний інститут післядипломної освіти</w:t>
      </w:r>
      <w:r w:rsidR="00E47E93">
        <w:rPr>
          <w:rFonts w:ascii="Times New Roman" w:hAnsi="Times New Roman" w:cs="Times New Roman"/>
          <w:b/>
          <w:bCs/>
          <w:sz w:val="28"/>
          <w:szCs w:val="28"/>
        </w:rPr>
        <w:t xml:space="preserve"> </w:t>
      </w:r>
      <w:r w:rsidRPr="003B6832">
        <w:rPr>
          <w:rFonts w:ascii="Times New Roman" w:hAnsi="Times New Roman" w:cs="Times New Roman"/>
          <w:b/>
          <w:bCs/>
          <w:sz w:val="28"/>
          <w:szCs w:val="28"/>
        </w:rPr>
        <w:t xml:space="preserve">педагогічних </w:t>
      </w:r>
      <w:r w:rsidR="003B6832" w:rsidRPr="003B6832">
        <w:rPr>
          <w:rFonts w:ascii="Times New Roman" w:hAnsi="Times New Roman" w:cs="Times New Roman"/>
          <w:b/>
          <w:bCs/>
          <w:sz w:val="28"/>
          <w:szCs w:val="28"/>
        </w:rPr>
        <w:t>кадрів</w:t>
      </w:r>
      <w:r w:rsidRPr="003B6832">
        <w:rPr>
          <w:rFonts w:ascii="Times New Roman" w:hAnsi="Times New Roman" w:cs="Times New Roman"/>
          <w:b/>
          <w:bCs/>
          <w:sz w:val="28"/>
          <w:szCs w:val="28"/>
        </w:rPr>
        <w:t>»,</w:t>
      </w:r>
      <w:r w:rsidR="00E47E93">
        <w:rPr>
          <w:rFonts w:ascii="Times New Roman" w:hAnsi="Times New Roman" w:cs="Times New Roman"/>
          <w:b/>
          <w:bCs/>
          <w:sz w:val="28"/>
          <w:szCs w:val="28"/>
        </w:rPr>
        <w:t xml:space="preserve"> </w:t>
      </w:r>
      <w:r w:rsidRPr="003B6832">
        <w:rPr>
          <w:rFonts w:ascii="Times New Roman" w:hAnsi="Times New Roman" w:cs="Times New Roman"/>
          <w:b/>
          <w:bCs/>
          <w:sz w:val="28"/>
          <w:szCs w:val="28"/>
        </w:rPr>
        <w:t>спрямованих на</w:t>
      </w:r>
      <w:r w:rsidR="00E47E93">
        <w:rPr>
          <w:rFonts w:ascii="Times New Roman" w:hAnsi="Times New Roman" w:cs="Times New Roman"/>
          <w:b/>
          <w:bCs/>
          <w:sz w:val="28"/>
          <w:szCs w:val="28"/>
        </w:rPr>
        <w:t xml:space="preserve"> </w:t>
      </w:r>
      <w:r w:rsidRPr="003B6832">
        <w:rPr>
          <w:rFonts w:ascii="Times New Roman" w:hAnsi="Times New Roman" w:cs="Times New Roman"/>
          <w:b/>
          <w:bCs/>
          <w:sz w:val="28"/>
          <w:szCs w:val="28"/>
        </w:rPr>
        <w:t>запобігання та протидію булінгу/мобінгу</w:t>
      </w:r>
    </w:p>
    <w:p w14:paraId="74A1A66A" w14:textId="77777777" w:rsidR="00FE2E33" w:rsidRPr="003B6832" w:rsidRDefault="00FE2E33" w:rsidP="00FE2E33">
      <w:pPr>
        <w:rPr>
          <w:rFonts w:ascii="Times New Roman" w:hAnsi="Times New Roman" w:cs="Times New Roman"/>
          <w:sz w:val="28"/>
          <w:szCs w:val="28"/>
        </w:rPr>
      </w:pPr>
      <w:r w:rsidRPr="003B6832">
        <w:rPr>
          <w:rFonts w:ascii="Times New Roman" w:hAnsi="Times New Roman" w:cs="Times New Roman"/>
          <w:sz w:val="28"/>
          <w:szCs w:val="28"/>
        </w:rPr>
        <w:t> </w:t>
      </w:r>
    </w:p>
    <w:p w14:paraId="787A2C23" w14:textId="4FB24D0D" w:rsidR="00FE2E33" w:rsidRPr="003B6832" w:rsidRDefault="00FE2E33" w:rsidP="00FE2E33">
      <w:pPr>
        <w:rPr>
          <w:rFonts w:ascii="Times New Roman" w:hAnsi="Times New Roman" w:cs="Times New Roman"/>
          <w:sz w:val="28"/>
          <w:szCs w:val="28"/>
        </w:rPr>
      </w:pPr>
      <w:r w:rsidRPr="003B6832">
        <w:rPr>
          <w:rFonts w:ascii="Times New Roman" w:hAnsi="Times New Roman" w:cs="Times New Roman"/>
          <w:b/>
          <w:bCs/>
          <w:sz w:val="28"/>
          <w:szCs w:val="28"/>
        </w:rPr>
        <w:t>І. Загальн</w:t>
      </w:r>
      <w:r w:rsidR="00E47E93">
        <w:rPr>
          <w:rFonts w:ascii="Times New Roman" w:hAnsi="Times New Roman" w:cs="Times New Roman"/>
          <w:b/>
          <w:bCs/>
          <w:sz w:val="28"/>
          <w:szCs w:val="28"/>
        </w:rPr>
        <w:t xml:space="preserve">і </w:t>
      </w:r>
      <w:r w:rsidRPr="003B6832">
        <w:rPr>
          <w:rFonts w:ascii="Times New Roman" w:hAnsi="Times New Roman" w:cs="Times New Roman"/>
          <w:b/>
          <w:bCs/>
          <w:sz w:val="28"/>
          <w:szCs w:val="28"/>
        </w:rPr>
        <w:t>положення</w:t>
      </w:r>
    </w:p>
    <w:p w14:paraId="01FC2FD5" w14:textId="06E1FA7F"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1.1.</w:t>
      </w:r>
      <w:r w:rsidRPr="003B6832">
        <w:rPr>
          <w:rFonts w:ascii="Times New Roman" w:hAnsi="Times New Roman" w:cs="Times New Roman"/>
          <w:sz w:val="28"/>
          <w:szCs w:val="28"/>
        </w:rPr>
        <w:t xml:space="preserve"> Цей Порядок розроблено на виконання Закону України «Про внесення змін до деяких законодавчих актів України щодо протидії булінгу (цькуванню)» від 18.12.2018 №22657-VIII, закону України від 16.11.2022 №5748 «Про внесення змін до деяких законодавчих актів України щодо запобігання та протидії мобінгу (цькуванню)» та з метою забезпечення гарантованого виконання вимог чинного законодавства і недопущення порушень у сфері освіти.</w:t>
      </w:r>
    </w:p>
    <w:p w14:paraId="42C3AE42" w14:textId="5046CB40"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1.2.</w:t>
      </w:r>
      <w:r w:rsidR="00E47E93">
        <w:rPr>
          <w:rFonts w:ascii="Times New Roman" w:hAnsi="Times New Roman" w:cs="Times New Roman"/>
          <w:b/>
          <w:bCs/>
          <w:sz w:val="28"/>
          <w:szCs w:val="28"/>
        </w:rPr>
        <w:t xml:space="preserve"> </w:t>
      </w:r>
      <w:r w:rsidRPr="003B6832">
        <w:rPr>
          <w:rFonts w:ascii="Times New Roman" w:hAnsi="Times New Roman" w:cs="Times New Roman"/>
          <w:b/>
          <w:bCs/>
          <w:sz w:val="28"/>
          <w:szCs w:val="28"/>
        </w:rPr>
        <w:t>Булінг/мобінг (цькування)</w:t>
      </w:r>
      <w:r w:rsidRPr="003B6832">
        <w:rPr>
          <w:rFonts w:ascii="Times New Roman" w:hAnsi="Times New Roman" w:cs="Times New Roman"/>
          <w:sz w:val="28"/>
          <w:szCs w:val="28"/>
        </w:rPr>
        <w:t> – 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і гідності працівника, його ділової репутації; психологічний та економічний тиск, ворожа та образлива атмосфера щодо людини.</w:t>
      </w:r>
    </w:p>
    <w:p w14:paraId="6800F670" w14:textId="77777777"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1.3.</w:t>
      </w:r>
      <w:r w:rsidRPr="003B6832">
        <w:rPr>
          <w:rFonts w:ascii="Times New Roman" w:hAnsi="Times New Roman" w:cs="Times New Roman"/>
          <w:sz w:val="28"/>
          <w:szCs w:val="28"/>
        </w:rPr>
        <w:t xml:space="preserve"> Заяви про випадки булінгу/мобінгу в закладі можуть бути подані до розгляду письмово особисто, поштою або електронною поштою на вибір.</w:t>
      </w:r>
    </w:p>
    <w:p w14:paraId="07FB1D14" w14:textId="77777777"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1.4.</w:t>
      </w:r>
      <w:r w:rsidRPr="003B6832">
        <w:rPr>
          <w:rFonts w:ascii="Times New Roman" w:hAnsi="Times New Roman" w:cs="Times New Roman"/>
          <w:sz w:val="28"/>
          <w:szCs w:val="28"/>
        </w:rPr>
        <w:t xml:space="preserve"> Заяви про випадки булінгу/мобінгу можуть надавати на розгляд комісії працівники особисто, інші працівники закладу, свідком яких вони були або інформацію, про які отримали від інших осіб.</w:t>
      </w:r>
    </w:p>
    <w:p w14:paraId="47973B71" w14:textId="4A31DC07" w:rsidR="00FE2E33" w:rsidRPr="003B6832" w:rsidRDefault="00FE2E33" w:rsidP="00FE2E33">
      <w:pPr>
        <w:rPr>
          <w:rFonts w:ascii="Times New Roman" w:hAnsi="Times New Roman" w:cs="Times New Roman"/>
          <w:sz w:val="28"/>
          <w:szCs w:val="28"/>
        </w:rPr>
      </w:pPr>
      <w:r w:rsidRPr="003B6832">
        <w:rPr>
          <w:rFonts w:ascii="Times New Roman" w:hAnsi="Times New Roman" w:cs="Times New Roman"/>
          <w:b/>
          <w:bCs/>
          <w:sz w:val="28"/>
          <w:szCs w:val="28"/>
        </w:rPr>
        <w:t>ІІ. Порядок</w:t>
      </w:r>
      <w:r w:rsidR="00E47E93">
        <w:rPr>
          <w:rFonts w:ascii="Times New Roman" w:hAnsi="Times New Roman" w:cs="Times New Roman"/>
          <w:b/>
          <w:bCs/>
          <w:sz w:val="28"/>
          <w:szCs w:val="28"/>
        </w:rPr>
        <w:t xml:space="preserve"> </w:t>
      </w:r>
      <w:r w:rsidRPr="003B6832">
        <w:rPr>
          <w:rFonts w:ascii="Times New Roman" w:hAnsi="Times New Roman" w:cs="Times New Roman"/>
          <w:b/>
          <w:bCs/>
          <w:sz w:val="28"/>
          <w:szCs w:val="28"/>
        </w:rPr>
        <w:t>отримання заяв</w:t>
      </w:r>
    </w:p>
    <w:p w14:paraId="0FD03A37" w14:textId="77777777"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2.1.</w:t>
      </w:r>
      <w:r w:rsidRPr="003B6832">
        <w:rPr>
          <w:rFonts w:ascii="Times New Roman" w:hAnsi="Times New Roman" w:cs="Times New Roman"/>
          <w:sz w:val="28"/>
          <w:szCs w:val="28"/>
        </w:rPr>
        <w:t xml:space="preserve"> Усі заяви, що надійшли до закладу поштою, електронною поштою, у письмовій формі, приймаються у день їх надходження з урахуванням правил внутрішнього трудового розпорядку.</w:t>
      </w:r>
    </w:p>
    <w:p w14:paraId="4256137E" w14:textId="029149D7"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2.2.</w:t>
      </w:r>
      <w:r w:rsidRPr="003B6832">
        <w:rPr>
          <w:rFonts w:ascii="Times New Roman" w:hAnsi="Times New Roman" w:cs="Times New Roman"/>
          <w:sz w:val="28"/>
          <w:szCs w:val="28"/>
        </w:rPr>
        <w:t xml:space="preserve"> Заяви електронною поштою приймаються з електронної адреси закладу. Перевірку наявності надходження заяв на електронну пошту здійснює секретар та невідкладно їх реєструє.</w:t>
      </w:r>
    </w:p>
    <w:p w14:paraId="7B36957F" w14:textId="34E35F81"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ІІІ. Ведення реєстрації та обліку</w:t>
      </w:r>
      <w:r w:rsidR="00E47E93">
        <w:rPr>
          <w:rFonts w:ascii="Times New Roman" w:hAnsi="Times New Roman" w:cs="Times New Roman"/>
          <w:b/>
          <w:bCs/>
          <w:sz w:val="28"/>
          <w:szCs w:val="28"/>
        </w:rPr>
        <w:t xml:space="preserve"> </w:t>
      </w:r>
      <w:r w:rsidRPr="003B6832">
        <w:rPr>
          <w:rFonts w:ascii="Times New Roman" w:hAnsi="Times New Roman" w:cs="Times New Roman"/>
          <w:b/>
          <w:bCs/>
          <w:sz w:val="28"/>
          <w:szCs w:val="28"/>
        </w:rPr>
        <w:t>заяв</w:t>
      </w:r>
    </w:p>
    <w:p w14:paraId="78122956" w14:textId="77777777"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lastRenderedPageBreak/>
        <w:t>3.1.</w:t>
      </w:r>
      <w:r w:rsidRPr="003B6832">
        <w:rPr>
          <w:rFonts w:ascii="Times New Roman" w:hAnsi="Times New Roman" w:cs="Times New Roman"/>
          <w:sz w:val="28"/>
          <w:szCs w:val="28"/>
        </w:rPr>
        <w:t xml:space="preserve"> Реєстрації підлягають усі отримані заяви.</w:t>
      </w:r>
    </w:p>
    <w:p w14:paraId="6BC8C05A" w14:textId="77777777"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3.2.</w:t>
      </w:r>
      <w:r w:rsidRPr="003B6832">
        <w:rPr>
          <w:rFonts w:ascii="Times New Roman" w:hAnsi="Times New Roman" w:cs="Times New Roman"/>
          <w:sz w:val="28"/>
          <w:szCs w:val="28"/>
        </w:rPr>
        <w:t xml:space="preserve"> Заявам присвоюється реєстраційна дата фактичного дня надходження заяви.</w:t>
      </w:r>
    </w:p>
    <w:p w14:paraId="0F881D22" w14:textId="77777777"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sz w:val="28"/>
          <w:szCs w:val="28"/>
        </w:rPr>
        <w:t>Для реєстрації заяви, поданої в електронному вигляді, здійснюється дублювання на папері.</w:t>
      </w:r>
    </w:p>
    <w:p w14:paraId="73D24C22" w14:textId="0764C91E"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3.3.</w:t>
      </w:r>
      <w:r w:rsidRPr="003B6832">
        <w:rPr>
          <w:rFonts w:ascii="Times New Roman" w:hAnsi="Times New Roman" w:cs="Times New Roman"/>
          <w:sz w:val="28"/>
          <w:szCs w:val="28"/>
        </w:rPr>
        <w:t>Якщо заявник особисто подав заяву,</w:t>
      </w:r>
      <w:r w:rsidR="00E47E93">
        <w:rPr>
          <w:rFonts w:ascii="Times New Roman" w:hAnsi="Times New Roman" w:cs="Times New Roman"/>
          <w:sz w:val="28"/>
          <w:szCs w:val="28"/>
        </w:rPr>
        <w:t xml:space="preserve"> </w:t>
      </w:r>
      <w:r w:rsidRPr="003B6832">
        <w:rPr>
          <w:rFonts w:ascii="Times New Roman" w:hAnsi="Times New Roman" w:cs="Times New Roman"/>
          <w:sz w:val="28"/>
          <w:szCs w:val="28"/>
        </w:rPr>
        <w:t>на другому друкованому примірнику,</w:t>
      </w:r>
      <w:r w:rsidR="00E47E93">
        <w:rPr>
          <w:rFonts w:ascii="Times New Roman" w:hAnsi="Times New Roman" w:cs="Times New Roman"/>
          <w:sz w:val="28"/>
          <w:szCs w:val="28"/>
        </w:rPr>
        <w:t xml:space="preserve"> </w:t>
      </w:r>
      <w:r w:rsidRPr="003B6832">
        <w:rPr>
          <w:rFonts w:ascii="Times New Roman" w:hAnsi="Times New Roman" w:cs="Times New Roman"/>
          <w:sz w:val="28"/>
          <w:szCs w:val="28"/>
        </w:rPr>
        <w:t>що залишається у заявника, проставляється дата,</w:t>
      </w:r>
      <w:r w:rsidR="00E47E93">
        <w:rPr>
          <w:rFonts w:ascii="Times New Roman" w:hAnsi="Times New Roman" w:cs="Times New Roman"/>
          <w:sz w:val="28"/>
          <w:szCs w:val="28"/>
        </w:rPr>
        <w:t xml:space="preserve"> </w:t>
      </w:r>
      <w:r w:rsidRPr="003B6832">
        <w:rPr>
          <w:rFonts w:ascii="Times New Roman" w:hAnsi="Times New Roman" w:cs="Times New Roman"/>
          <w:sz w:val="28"/>
          <w:szCs w:val="28"/>
        </w:rPr>
        <w:t>підпис, а за необхідності, час надання заяви на реєстрацію.</w:t>
      </w:r>
    </w:p>
    <w:p w14:paraId="65BFA9B0" w14:textId="77777777"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IV. Розгляд заяв</w:t>
      </w:r>
    </w:p>
    <w:p w14:paraId="04DDB02A" w14:textId="295BE5EC"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4.1.</w:t>
      </w:r>
      <w:r w:rsidRPr="003B6832">
        <w:rPr>
          <w:rFonts w:ascii="Times New Roman" w:hAnsi="Times New Roman" w:cs="Times New Roman"/>
          <w:sz w:val="28"/>
          <w:szCs w:val="28"/>
        </w:rPr>
        <w:t xml:space="preserve"> Отримана,</w:t>
      </w:r>
      <w:r w:rsidR="00E47E93">
        <w:rPr>
          <w:rFonts w:ascii="Times New Roman" w:hAnsi="Times New Roman" w:cs="Times New Roman"/>
          <w:sz w:val="28"/>
          <w:szCs w:val="28"/>
        </w:rPr>
        <w:t xml:space="preserve"> </w:t>
      </w:r>
      <w:r w:rsidRPr="003B6832">
        <w:rPr>
          <w:rFonts w:ascii="Times New Roman" w:hAnsi="Times New Roman" w:cs="Times New Roman"/>
          <w:sz w:val="28"/>
          <w:szCs w:val="28"/>
        </w:rPr>
        <w:t>зареєстрована заява про випадок булінгу/мобінгу розглядається керівником закладу.</w:t>
      </w:r>
    </w:p>
    <w:p w14:paraId="47BBEBF6" w14:textId="77777777"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4.2.</w:t>
      </w:r>
      <w:r w:rsidRPr="003B6832">
        <w:rPr>
          <w:rFonts w:ascii="Times New Roman" w:hAnsi="Times New Roman" w:cs="Times New Roman"/>
          <w:sz w:val="28"/>
          <w:szCs w:val="28"/>
        </w:rPr>
        <w:t xml:space="preserve"> Відповідно до заяви керівник установи видає рішення про проведення розслідування з визначенням уповноважених осіб.</w:t>
      </w:r>
    </w:p>
    <w:p w14:paraId="0F5818C2" w14:textId="79834CD9"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b/>
          <w:bCs/>
          <w:sz w:val="28"/>
          <w:szCs w:val="28"/>
        </w:rPr>
        <w:t>4.3.</w:t>
      </w:r>
      <w:r w:rsidRPr="003B6832">
        <w:rPr>
          <w:rFonts w:ascii="Times New Roman" w:hAnsi="Times New Roman" w:cs="Times New Roman"/>
          <w:sz w:val="28"/>
          <w:szCs w:val="28"/>
        </w:rPr>
        <w:t xml:space="preserve"> Розгляд заяви здійснюється протягом </w:t>
      </w:r>
      <w:r w:rsidR="00E47E93">
        <w:rPr>
          <w:rFonts w:ascii="Times New Roman" w:hAnsi="Times New Roman" w:cs="Times New Roman"/>
          <w:sz w:val="28"/>
          <w:szCs w:val="28"/>
        </w:rPr>
        <w:t>деся</w:t>
      </w:r>
      <w:r w:rsidRPr="003B6832">
        <w:rPr>
          <w:rFonts w:ascii="Times New Roman" w:hAnsi="Times New Roman" w:cs="Times New Roman"/>
          <w:sz w:val="28"/>
          <w:szCs w:val="28"/>
        </w:rPr>
        <w:t>ти робочих днів із дня її отримання.</w:t>
      </w:r>
    </w:p>
    <w:p w14:paraId="2A5F2D39" w14:textId="6A615858" w:rsidR="00F111D7" w:rsidRPr="003B6832" w:rsidRDefault="0074096A" w:rsidP="00F111D7">
      <w:pPr>
        <w:jc w:val="both"/>
        <w:rPr>
          <w:rFonts w:ascii="Times New Roman" w:hAnsi="Times New Roman" w:cs="Times New Roman"/>
          <w:sz w:val="28"/>
          <w:szCs w:val="28"/>
        </w:rPr>
      </w:pPr>
      <w:hyperlink r:id="rId5" w:history="1">
        <w:r w:rsidR="00FE2E33" w:rsidRPr="00810C6F">
          <w:rPr>
            <w:rStyle w:val="a3"/>
            <w:rFonts w:ascii="Times New Roman" w:hAnsi="Times New Roman" w:cs="Times New Roman"/>
            <w:b/>
            <w:bCs/>
            <w:sz w:val="28"/>
            <w:szCs w:val="28"/>
          </w:rPr>
          <w:t>Закон</w:t>
        </w:r>
        <w:r w:rsidR="00810C6F" w:rsidRPr="00810C6F">
          <w:rPr>
            <w:rStyle w:val="a3"/>
            <w:rFonts w:ascii="Times New Roman" w:hAnsi="Times New Roman" w:cs="Times New Roman"/>
            <w:b/>
            <w:bCs/>
            <w:sz w:val="28"/>
            <w:szCs w:val="28"/>
          </w:rPr>
          <w:t xml:space="preserve"> України від 16.11.2022 року №</w:t>
        </w:r>
        <w:r w:rsidR="00810C6F" w:rsidRPr="00810C6F">
          <w:rPr>
            <w:rStyle w:val="a3"/>
            <w:rFonts w:ascii="Times New Roman" w:hAnsi="Times New Roman" w:cs="Times New Roman"/>
            <w:b/>
            <w:bCs/>
            <w:sz w:val="26"/>
            <w:szCs w:val="26"/>
            <w:shd w:val="clear" w:color="auto" w:fill="F7F7F7"/>
          </w:rPr>
          <w:t>2759-IX</w:t>
        </w:r>
        <w:r w:rsidR="00FE2E33" w:rsidRPr="00810C6F">
          <w:rPr>
            <w:rStyle w:val="a3"/>
            <w:rFonts w:ascii="Times New Roman" w:hAnsi="Times New Roman" w:cs="Times New Roman"/>
            <w:b/>
            <w:bCs/>
            <w:sz w:val="28"/>
            <w:szCs w:val="28"/>
          </w:rPr>
          <w:t> «Про внесення змін до деяких законодавчих актів України щодо запобігання та протидії мобінгу (цькуванню)»</w:t>
        </w:r>
      </w:hyperlink>
      <w:r w:rsidR="00F111D7" w:rsidRPr="003B6832">
        <w:rPr>
          <w:rFonts w:ascii="Times New Roman" w:hAnsi="Times New Roman" w:cs="Times New Roman"/>
          <w:b/>
          <w:bCs/>
          <w:sz w:val="28"/>
          <w:szCs w:val="28"/>
        </w:rPr>
        <w:t xml:space="preserve"> що передбачено</w:t>
      </w:r>
      <w:r w:rsidR="00F111D7">
        <w:rPr>
          <w:rFonts w:ascii="Times New Roman" w:hAnsi="Times New Roman" w:cs="Times New Roman"/>
          <w:b/>
          <w:bCs/>
          <w:sz w:val="28"/>
          <w:szCs w:val="28"/>
        </w:rPr>
        <w:t>:</w:t>
      </w:r>
    </w:p>
    <w:p w14:paraId="2E10B988" w14:textId="3D4A5298"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sz w:val="28"/>
          <w:szCs w:val="28"/>
        </w:rPr>
        <w:t>Встановлені дефініції поняття</w:t>
      </w:r>
      <w:r w:rsidR="00DC601F">
        <w:rPr>
          <w:rFonts w:ascii="Times New Roman" w:hAnsi="Times New Roman" w:cs="Times New Roman"/>
          <w:sz w:val="28"/>
          <w:szCs w:val="28"/>
        </w:rPr>
        <w:t xml:space="preserve"> </w:t>
      </w:r>
      <w:r w:rsidRPr="003B6832">
        <w:rPr>
          <w:rFonts w:ascii="Times New Roman" w:hAnsi="Times New Roman" w:cs="Times New Roman"/>
          <w:b/>
          <w:bCs/>
          <w:sz w:val="28"/>
          <w:szCs w:val="28"/>
        </w:rPr>
        <w:t>«мобінг» (цькування)</w:t>
      </w:r>
      <w:r w:rsidR="00DC601F">
        <w:rPr>
          <w:rFonts w:ascii="Times New Roman" w:hAnsi="Times New Roman" w:cs="Times New Roman"/>
          <w:sz w:val="28"/>
          <w:szCs w:val="28"/>
        </w:rPr>
        <w:t xml:space="preserve"> </w:t>
      </w:r>
      <w:r w:rsidRPr="003B6832">
        <w:rPr>
          <w:rFonts w:ascii="Times New Roman" w:hAnsi="Times New Roman" w:cs="Times New Roman"/>
          <w:sz w:val="28"/>
          <w:szCs w:val="28"/>
        </w:rPr>
        <w:t>як 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що є порушенням українського законодавства. Психологічний та економічний тиск, ворожа та образлива атмосфера щодо людини є неприпустимими в цивілізованому суспільстві нашої країни.</w:t>
      </w:r>
    </w:p>
    <w:p w14:paraId="52AA5D83" w14:textId="77777777"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sz w:val="28"/>
          <w:szCs w:val="28"/>
        </w:rPr>
        <w:t>Закон зобов’язує роботодавця вживати заходів для забезпечення безпеки і захисту фізичного та психічного здоров’я працівників, здійснювати профілактику ризиків та напруги на робочому місці, провадити інформаційні, навчальні та організаційні заходи із запобігання та протидії мобінгу (цькування).</w:t>
      </w:r>
    </w:p>
    <w:p w14:paraId="6CD252E3" w14:textId="6CD0AFDC"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sz w:val="28"/>
          <w:szCs w:val="28"/>
        </w:rPr>
        <w:t>Прийнятий Закон запроваджує</w:t>
      </w:r>
      <w:r w:rsidR="00DC601F">
        <w:rPr>
          <w:rFonts w:ascii="Times New Roman" w:hAnsi="Times New Roman" w:cs="Times New Roman"/>
          <w:sz w:val="28"/>
          <w:szCs w:val="28"/>
        </w:rPr>
        <w:t xml:space="preserve"> </w:t>
      </w:r>
      <w:r w:rsidRPr="003B6832">
        <w:rPr>
          <w:rFonts w:ascii="Times New Roman" w:hAnsi="Times New Roman" w:cs="Times New Roman"/>
          <w:b/>
          <w:bCs/>
          <w:sz w:val="28"/>
          <w:szCs w:val="28"/>
        </w:rPr>
        <w:t>адміністративну відповідальність за систематичне застосування різних форм мобінгу до працівника</w:t>
      </w:r>
      <w:r w:rsidRPr="003B6832">
        <w:rPr>
          <w:rFonts w:ascii="Times New Roman" w:hAnsi="Times New Roman" w:cs="Times New Roman"/>
          <w:sz w:val="28"/>
          <w:szCs w:val="28"/>
        </w:rPr>
        <w:t>. Передбачаються умови, за яких роботодавець має відшкодувати моральну шкоду працівнику, який зазнав відповідного цькування.</w:t>
      </w:r>
    </w:p>
    <w:p w14:paraId="5BC2C8AC" w14:textId="77777777"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sz w:val="28"/>
          <w:szCs w:val="28"/>
        </w:rPr>
        <w:t>Працівникові, який вирішив звільнитися через мобінг, Закон гарантує виплату вихідної допомоги у розмірі не менше тримісячного середнього заробітку за рахунок роботодавця.</w:t>
      </w:r>
    </w:p>
    <w:p w14:paraId="012516B7" w14:textId="77777777" w:rsidR="00F111D7" w:rsidRDefault="00EC05CD" w:rsidP="003B6832">
      <w:pPr>
        <w:jc w:val="both"/>
        <w:rPr>
          <w:rFonts w:ascii="Times New Roman" w:hAnsi="Times New Roman" w:cs="Times New Roman"/>
          <w:sz w:val="28"/>
          <w:szCs w:val="28"/>
          <w:shd w:val="clear" w:color="auto" w:fill="FFFFFF"/>
        </w:rPr>
      </w:pPr>
      <w:r w:rsidRPr="00EC05CD">
        <w:rPr>
          <w:rFonts w:ascii="Times New Roman" w:hAnsi="Times New Roman" w:cs="Times New Roman"/>
          <w:sz w:val="28"/>
          <w:szCs w:val="28"/>
          <w:shd w:val="clear" w:color="auto" w:fill="FFFFFF"/>
        </w:rPr>
        <w:t>"Стаття 2</w:t>
      </w:r>
      <w:r w:rsidRPr="00EC05CD">
        <w:rPr>
          <w:rFonts w:ascii="Times New Roman" w:hAnsi="Times New Roman" w:cs="Times New Roman"/>
          <w:sz w:val="28"/>
          <w:szCs w:val="28"/>
          <w:shd w:val="clear" w:color="auto" w:fill="FFFFFF"/>
          <w:vertAlign w:val="superscript"/>
        </w:rPr>
        <w:t>2</w:t>
      </w:r>
      <w:r w:rsidRPr="00EC05CD">
        <w:rPr>
          <w:rFonts w:ascii="Times New Roman" w:hAnsi="Times New Roman" w:cs="Times New Roman"/>
          <w:sz w:val="28"/>
          <w:szCs w:val="28"/>
          <w:shd w:val="clear" w:color="auto" w:fill="FFFFFF"/>
        </w:rPr>
        <w:t>. Заборона мобінгу (цькування)</w:t>
      </w:r>
    </w:p>
    <w:p w14:paraId="541B1AB4" w14:textId="0FE2FE7C" w:rsidR="00EC05CD" w:rsidRPr="00EC05CD" w:rsidRDefault="00E47E93" w:rsidP="00EC05CD">
      <w:pPr>
        <w:pStyle w:val="rvps2"/>
        <w:shd w:val="clear" w:color="auto" w:fill="FFFFFF"/>
        <w:spacing w:before="0" w:beforeAutospacing="0" w:after="150" w:afterAutospacing="0"/>
        <w:ind w:firstLine="450"/>
        <w:jc w:val="both"/>
        <w:rPr>
          <w:sz w:val="28"/>
          <w:szCs w:val="28"/>
        </w:rPr>
      </w:pPr>
      <w:hyperlink r:id="rId6" w:anchor="n38" w:history="1">
        <w:r w:rsidR="00EC05CD" w:rsidRPr="00E47E93">
          <w:rPr>
            <w:rStyle w:val="a3"/>
            <w:sz w:val="28"/>
            <w:szCs w:val="28"/>
          </w:rPr>
          <w:t>стаття 5</w:t>
        </w:r>
        <w:r w:rsidR="00EC05CD" w:rsidRPr="00E47E93">
          <w:rPr>
            <w:rStyle w:val="a3"/>
            <w:b/>
            <w:bCs/>
            <w:sz w:val="28"/>
            <w:szCs w:val="28"/>
            <w:vertAlign w:val="superscript"/>
          </w:rPr>
          <w:t>-1 </w:t>
        </w:r>
        <w:r w:rsidR="00876470" w:rsidRPr="00E47E93">
          <w:rPr>
            <w:rStyle w:val="a3"/>
            <w:sz w:val="28"/>
            <w:szCs w:val="28"/>
          </w:rPr>
          <w:t xml:space="preserve">частина перша, </w:t>
        </w:r>
        <w:r w:rsidR="00876470" w:rsidRPr="00E47E93">
          <w:rPr>
            <w:rStyle w:val="a3"/>
            <w:sz w:val="28"/>
            <w:szCs w:val="28"/>
            <w:vertAlign w:val="superscript"/>
          </w:rPr>
          <w:t xml:space="preserve"> </w:t>
        </w:r>
        <w:r w:rsidR="00EC05CD" w:rsidRPr="00E47E93">
          <w:rPr>
            <w:rStyle w:val="a3"/>
            <w:sz w:val="28"/>
            <w:szCs w:val="28"/>
          </w:rPr>
          <w:t>абзац восьмий</w:t>
        </w:r>
      </w:hyperlink>
      <w:r w:rsidR="00EC05CD" w:rsidRPr="00EC05CD">
        <w:rPr>
          <w:sz w:val="28"/>
          <w:szCs w:val="28"/>
        </w:rPr>
        <w:t>:</w:t>
      </w:r>
    </w:p>
    <w:p w14:paraId="2EDC4A7A" w14:textId="351F1028" w:rsidR="00EC05CD" w:rsidRDefault="00EC05CD" w:rsidP="00EC05CD">
      <w:pPr>
        <w:pStyle w:val="rvps2"/>
        <w:shd w:val="clear" w:color="auto" w:fill="FFFFFF"/>
        <w:spacing w:before="0" w:beforeAutospacing="0" w:after="150" w:afterAutospacing="0"/>
        <w:ind w:firstLine="450"/>
        <w:jc w:val="both"/>
        <w:rPr>
          <w:sz w:val="28"/>
          <w:szCs w:val="28"/>
        </w:rPr>
      </w:pPr>
      <w:bookmarkStart w:id="0" w:name="n22"/>
      <w:bookmarkEnd w:id="0"/>
      <w:r w:rsidRPr="00EC05CD">
        <w:rPr>
          <w:sz w:val="28"/>
          <w:szCs w:val="28"/>
        </w:rPr>
        <w:lastRenderedPageBreak/>
        <w:t>"правовий захист від мобінгу (цькування), дискримінації, упередженого ставлення у сфері праці, захист честі та гідності працівника під час здійснення ним трудової діяльності, а також забезпечення особам, які зазнали таких дій та/або бездіяльності, права на звернення до центрального органу виконавчої влади, що реалізує державну політику у сфері нагляду та контролю за додержанням законодавства про працю, та до суду щодо визнання таких фактів та їх усунення (без припинення працівником трудової діяльності на період розгляду скарги, провадження у справі), а також відшкодування шкоди, заподіяної внаслідок таких дій та/або бездіяльності, на підставі судового рішення, що набрало законної сили"</w:t>
      </w:r>
      <w:r>
        <w:rPr>
          <w:sz w:val="28"/>
          <w:szCs w:val="28"/>
        </w:rPr>
        <w:t>;</w:t>
      </w:r>
    </w:p>
    <w:p w14:paraId="05AB1682" w14:textId="46823550" w:rsidR="00EC05CD" w:rsidRPr="00EC05CD" w:rsidRDefault="00E47E93" w:rsidP="00EC05CD">
      <w:pPr>
        <w:shd w:val="clear" w:color="auto" w:fill="FFFFFF"/>
        <w:spacing w:after="150" w:line="240" w:lineRule="auto"/>
        <w:ind w:firstLine="450"/>
        <w:jc w:val="both"/>
        <w:rPr>
          <w:rFonts w:ascii="Times New Roman" w:eastAsia="Times New Roman" w:hAnsi="Times New Roman" w:cs="Times New Roman"/>
          <w:sz w:val="28"/>
          <w:szCs w:val="28"/>
          <w:lang w:eastAsia="uk-UA"/>
        </w:rPr>
      </w:pPr>
      <w:hyperlink r:id="rId7" w:anchor="n221" w:history="1">
        <w:r w:rsidR="00EC05CD" w:rsidRPr="00E47E93">
          <w:rPr>
            <w:rStyle w:val="a3"/>
            <w:rFonts w:ascii="Times New Roman" w:eastAsia="Times New Roman" w:hAnsi="Times New Roman" w:cs="Times New Roman"/>
            <w:sz w:val="28"/>
            <w:szCs w:val="28"/>
            <w:lang w:eastAsia="uk-UA"/>
          </w:rPr>
          <w:t xml:space="preserve">стаття 38 частина </w:t>
        </w:r>
        <w:r w:rsidR="000F5DBD" w:rsidRPr="00E47E93">
          <w:rPr>
            <w:rStyle w:val="a3"/>
            <w:rFonts w:ascii="Times New Roman" w:eastAsia="Times New Roman" w:hAnsi="Times New Roman" w:cs="Times New Roman"/>
            <w:sz w:val="28"/>
            <w:szCs w:val="28"/>
            <w:lang w:eastAsia="uk-UA"/>
          </w:rPr>
          <w:t>третя</w:t>
        </w:r>
      </w:hyperlink>
      <w:r w:rsidR="00EC05CD" w:rsidRPr="00EC05CD">
        <w:rPr>
          <w:rFonts w:ascii="Times New Roman" w:eastAsia="Times New Roman" w:hAnsi="Times New Roman" w:cs="Times New Roman"/>
          <w:sz w:val="28"/>
          <w:szCs w:val="28"/>
          <w:lang w:eastAsia="uk-UA"/>
        </w:rPr>
        <w:t>:</w:t>
      </w:r>
    </w:p>
    <w:p w14:paraId="0F8B3C4A" w14:textId="2E0D265A" w:rsidR="00EC05CD" w:rsidRDefault="00EC05CD" w:rsidP="00EC05CD">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 w:name="n26"/>
      <w:bookmarkEnd w:id="1"/>
      <w:r w:rsidRPr="00EC05CD">
        <w:rPr>
          <w:rFonts w:ascii="Times New Roman" w:eastAsia="Times New Roman" w:hAnsi="Times New Roman" w:cs="Times New Roman"/>
          <w:sz w:val="28"/>
          <w:szCs w:val="28"/>
          <w:lang w:eastAsia="uk-UA"/>
        </w:rPr>
        <w:t>"Працівник має право у визначений ним строк розірвати трудовий договір за власним бажанням, якщо роботодавець не виконує законодавство про працю, умови колективного чи трудового договору, чинив мобінг (цькування) стосовно працівника або не вживав заходів щодо його припинення, що підтверджено судовим рішенням, що набрало законної сили";</w:t>
      </w:r>
    </w:p>
    <w:p w14:paraId="704C56DD" w14:textId="167F52A2" w:rsidR="00EC05CD" w:rsidRPr="00E47E93" w:rsidRDefault="00E47E93" w:rsidP="00EC05CD">
      <w:pPr>
        <w:shd w:val="clear" w:color="auto" w:fill="FFFFFF"/>
        <w:spacing w:after="150" w:line="240" w:lineRule="auto"/>
        <w:ind w:firstLine="450"/>
        <w:jc w:val="both"/>
        <w:rPr>
          <w:rStyle w:val="a3"/>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fldChar w:fldCharType="begin"/>
      </w:r>
      <w:r>
        <w:rPr>
          <w:rFonts w:ascii="Times New Roman" w:eastAsia="Times New Roman" w:hAnsi="Times New Roman" w:cs="Times New Roman"/>
          <w:sz w:val="28"/>
          <w:szCs w:val="28"/>
          <w:lang w:eastAsia="uk-UA"/>
        </w:rPr>
        <w:instrText xml:space="preserve"> HYPERLINK "https://zakon.rada.gov.ua/laws/show/322-08" \l "n899" \t "_blank" </w:instrText>
      </w:r>
      <w:r>
        <w:rPr>
          <w:rFonts w:ascii="Times New Roman" w:eastAsia="Times New Roman" w:hAnsi="Times New Roman" w:cs="Times New Roman"/>
          <w:sz w:val="28"/>
          <w:szCs w:val="28"/>
          <w:lang w:eastAsia="uk-UA"/>
        </w:rPr>
      </w:r>
      <w:r>
        <w:rPr>
          <w:rFonts w:ascii="Times New Roman" w:eastAsia="Times New Roman" w:hAnsi="Times New Roman" w:cs="Times New Roman"/>
          <w:sz w:val="28"/>
          <w:szCs w:val="28"/>
          <w:lang w:eastAsia="uk-UA"/>
        </w:rPr>
        <w:fldChar w:fldCharType="separate"/>
      </w:r>
      <w:r w:rsidR="00EC05CD" w:rsidRPr="00E47E93">
        <w:rPr>
          <w:rStyle w:val="a3"/>
          <w:rFonts w:ascii="Times New Roman" w:eastAsia="Times New Roman" w:hAnsi="Times New Roman" w:cs="Times New Roman"/>
          <w:sz w:val="28"/>
          <w:szCs w:val="28"/>
          <w:lang w:eastAsia="uk-UA"/>
        </w:rPr>
        <w:t>стаття 158 </w:t>
      </w:r>
      <w:r w:rsidR="000F5DBD" w:rsidRPr="00E47E93">
        <w:rPr>
          <w:rStyle w:val="a3"/>
          <w:rFonts w:ascii="Times New Roman" w:eastAsia="Times New Roman" w:hAnsi="Times New Roman" w:cs="Times New Roman"/>
          <w:sz w:val="28"/>
          <w:szCs w:val="28"/>
          <w:lang w:eastAsia="uk-UA"/>
        </w:rPr>
        <w:t>частина друга</w:t>
      </w:r>
      <w:r w:rsidR="00EC05CD" w:rsidRPr="00E47E93">
        <w:rPr>
          <w:rStyle w:val="a3"/>
          <w:rFonts w:ascii="Times New Roman" w:eastAsia="Times New Roman" w:hAnsi="Times New Roman" w:cs="Times New Roman"/>
          <w:sz w:val="28"/>
          <w:szCs w:val="28"/>
          <w:lang w:eastAsia="uk-UA"/>
        </w:rPr>
        <w:t>:</w:t>
      </w:r>
    </w:p>
    <w:bookmarkStart w:id="2" w:name="n34"/>
    <w:bookmarkEnd w:id="2"/>
    <w:p w14:paraId="3BAD5C30" w14:textId="14EB6A22" w:rsidR="00EC05CD" w:rsidRPr="00EC05CD" w:rsidRDefault="00E47E93" w:rsidP="00EC05CD">
      <w:pPr>
        <w:shd w:val="clear" w:color="auto" w:fill="FFFFFF"/>
        <w:spacing w:after="15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fldChar w:fldCharType="end"/>
      </w:r>
      <w:r w:rsidR="00EC05CD" w:rsidRPr="00EC05CD">
        <w:rPr>
          <w:rFonts w:ascii="Times New Roman" w:eastAsia="Times New Roman" w:hAnsi="Times New Roman" w:cs="Times New Roman"/>
          <w:sz w:val="28"/>
          <w:szCs w:val="28"/>
          <w:lang w:eastAsia="uk-UA"/>
        </w:rPr>
        <w:t>"Роботодавець зобов’язаний вживати заходів для забезпечення безпеки і захисту фізичного та психічного здоров’я працівників, здійснювати профілактику ризиків та напруги на робочому місці, проводити інформаційні, навчальні та організаційні заходи щодо запобігання та протидії мобінгу (цькуванню)";</w:t>
      </w:r>
    </w:p>
    <w:p w14:paraId="04B679AE" w14:textId="21BD81C3" w:rsidR="00EC05CD" w:rsidRPr="00EC05CD" w:rsidRDefault="00EC05CD" w:rsidP="00EC05CD">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3" w:name="n35"/>
      <w:bookmarkEnd w:id="3"/>
      <w:r w:rsidRPr="00EC05CD">
        <w:rPr>
          <w:rFonts w:ascii="Times New Roman" w:eastAsia="Times New Roman" w:hAnsi="Times New Roman" w:cs="Times New Roman"/>
          <w:sz w:val="28"/>
          <w:szCs w:val="28"/>
          <w:lang w:eastAsia="uk-UA"/>
        </w:rPr>
        <w:t> </w:t>
      </w:r>
      <w:hyperlink r:id="rId8" w:anchor="n955" w:tgtFrame="_blank" w:history="1">
        <w:r w:rsidRPr="00E47E93">
          <w:rPr>
            <w:rStyle w:val="a3"/>
            <w:rFonts w:ascii="Times New Roman" w:eastAsia="Times New Roman" w:hAnsi="Times New Roman" w:cs="Times New Roman"/>
            <w:sz w:val="28"/>
            <w:szCs w:val="28"/>
            <w:lang w:eastAsia="uk-UA"/>
          </w:rPr>
          <w:t>статт</w:t>
        </w:r>
        <w:r w:rsidR="000F5DBD" w:rsidRPr="00E47E93">
          <w:rPr>
            <w:rStyle w:val="a3"/>
            <w:rFonts w:ascii="Times New Roman" w:eastAsia="Times New Roman" w:hAnsi="Times New Roman" w:cs="Times New Roman"/>
            <w:sz w:val="28"/>
            <w:szCs w:val="28"/>
            <w:lang w:eastAsia="uk-UA"/>
          </w:rPr>
          <w:t>я</w:t>
        </w:r>
        <w:r w:rsidRPr="00E47E93">
          <w:rPr>
            <w:rStyle w:val="a3"/>
            <w:rFonts w:ascii="Times New Roman" w:eastAsia="Times New Roman" w:hAnsi="Times New Roman" w:cs="Times New Roman"/>
            <w:sz w:val="28"/>
            <w:szCs w:val="28"/>
            <w:lang w:eastAsia="uk-UA"/>
          </w:rPr>
          <w:t xml:space="preserve"> 173 </w:t>
        </w:r>
        <w:r w:rsidR="000F5DBD" w:rsidRPr="00E47E93">
          <w:rPr>
            <w:rStyle w:val="a3"/>
            <w:rFonts w:ascii="Times New Roman" w:eastAsia="Times New Roman" w:hAnsi="Times New Roman" w:cs="Times New Roman"/>
            <w:sz w:val="28"/>
            <w:szCs w:val="28"/>
            <w:lang w:eastAsia="uk-UA"/>
          </w:rPr>
          <w:t>частина друга</w:t>
        </w:r>
        <w:r w:rsidR="00E47E93" w:rsidRPr="00E47E93">
          <w:rPr>
            <w:rStyle w:val="a3"/>
            <w:rFonts w:ascii="Times New Roman" w:eastAsia="Times New Roman" w:hAnsi="Times New Roman" w:cs="Times New Roman"/>
            <w:sz w:val="28"/>
            <w:szCs w:val="28"/>
            <w:lang w:eastAsia="uk-UA"/>
          </w:rPr>
          <w:t xml:space="preserve"> </w:t>
        </w:r>
        <w:r w:rsidRPr="00E47E93">
          <w:rPr>
            <w:rStyle w:val="a3"/>
            <w:rFonts w:ascii="Times New Roman" w:eastAsia="Times New Roman" w:hAnsi="Times New Roman" w:cs="Times New Roman"/>
            <w:sz w:val="28"/>
            <w:szCs w:val="28"/>
            <w:lang w:eastAsia="uk-UA"/>
          </w:rPr>
          <w:t>:</w:t>
        </w:r>
      </w:hyperlink>
    </w:p>
    <w:p w14:paraId="6766AC53" w14:textId="77777777" w:rsidR="00EC05CD" w:rsidRPr="00EC05CD" w:rsidRDefault="00EC05CD" w:rsidP="00EC05CD">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4" w:name="n36"/>
      <w:bookmarkEnd w:id="4"/>
      <w:r w:rsidRPr="00EC05CD">
        <w:rPr>
          <w:rFonts w:ascii="Times New Roman" w:eastAsia="Times New Roman" w:hAnsi="Times New Roman" w:cs="Times New Roman"/>
          <w:sz w:val="28"/>
          <w:szCs w:val="28"/>
          <w:lang w:eastAsia="uk-UA"/>
        </w:rPr>
        <w:t>"У разі ушкодження здоров’я працівника, причиною якого став мобінг (цькування), факт якого підтверджено судовим рішенням, що набрало законної сили, заподіяна шкода відшкодовується у розмірі понесених витрат на лікування";</w:t>
      </w:r>
    </w:p>
    <w:p w14:paraId="52483D63" w14:textId="37AC5C65" w:rsidR="00EC05CD" w:rsidRPr="000F5DBD" w:rsidRDefault="00E47E93" w:rsidP="00EC05CD">
      <w:pPr>
        <w:pStyle w:val="rvps2"/>
        <w:shd w:val="clear" w:color="auto" w:fill="FFFFFF"/>
        <w:spacing w:before="0" w:beforeAutospacing="0" w:after="150" w:afterAutospacing="0"/>
        <w:ind w:firstLine="450"/>
        <w:jc w:val="both"/>
        <w:rPr>
          <w:sz w:val="28"/>
          <w:szCs w:val="28"/>
        </w:rPr>
      </w:pPr>
      <w:hyperlink r:id="rId9" w:anchor="n1269" w:history="1">
        <w:r w:rsidR="00EC05CD" w:rsidRPr="00E47E93">
          <w:rPr>
            <w:rStyle w:val="a3"/>
            <w:sz w:val="28"/>
            <w:szCs w:val="28"/>
          </w:rPr>
          <w:t>статт</w:t>
        </w:r>
        <w:r w:rsidR="000F5DBD" w:rsidRPr="00E47E93">
          <w:rPr>
            <w:rStyle w:val="a3"/>
            <w:sz w:val="28"/>
            <w:szCs w:val="28"/>
          </w:rPr>
          <w:t>я</w:t>
        </w:r>
        <w:r w:rsidR="00EC05CD" w:rsidRPr="00E47E93">
          <w:rPr>
            <w:rStyle w:val="a3"/>
            <w:sz w:val="28"/>
            <w:szCs w:val="28"/>
          </w:rPr>
          <w:t xml:space="preserve"> 237</w:t>
        </w:r>
        <w:r w:rsidR="00EC05CD" w:rsidRPr="00E47E93">
          <w:rPr>
            <w:rStyle w:val="a3"/>
            <w:b/>
            <w:bCs/>
            <w:sz w:val="28"/>
            <w:szCs w:val="28"/>
            <w:vertAlign w:val="superscript"/>
          </w:rPr>
          <w:t>-1</w:t>
        </w:r>
        <w:r w:rsidR="00EC05CD" w:rsidRPr="00E47E93">
          <w:rPr>
            <w:rStyle w:val="a3"/>
            <w:sz w:val="28"/>
            <w:szCs w:val="28"/>
          </w:rPr>
          <w:t> </w:t>
        </w:r>
        <w:r w:rsidR="000F5DBD" w:rsidRPr="00E47E93">
          <w:rPr>
            <w:rStyle w:val="a3"/>
            <w:sz w:val="28"/>
            <w:szCs w:val="28"/>
          </w:rPr>
          <w:t>частина перша</w:t>
        </w:r>
      </w:hyperlink>
      <w:r w:rsidR="00EC05CD" w:rsidRPr="000F5DBD">
        <w:rPr>
          <w:sz w:val="28"/>
          <w:szCs w:val="28"/>
        </w:rPr>
        <w:t>:</w:t>
      </w:r>
    </w:p>
    <w:p w14:paraId="3867EA0A" w14:textId="77777777" w:rsidR="00EC05CD" w:rsidRPr="000F5DBD" w:rsidRDefault="00EC05CD" w:rsidP="00EC05CD">
      <w:pPr>
        <w:pStyle w:val="rvps2"/>
        <w:shd w:val="clear" w:color="auto" w:fill="FFFFFF"/>
        <w:spacing w:before="0" w:beforeAutospacing="0" w:after="150" w:afterAutospacing="0"/>
        <w:ind w:firstLine="450"/>
        <w:jc w:val="both"/>
        <w:rPr>
          <w:sz w:val="28"/>
          <w:szCs w:val="28"/>
        </w:rPr>
      </w:pPr>
      <w:bookmarkStart w:id="5" w:name="n38"/>
      <w:bookmarkEnd w:id="5"/>
      <w:r w:rsidRPr="000F5DBD">
        <w:rPr>
          <w:sz w:val="28"/>
          <w:szCs w:val="28"/>
        </w:rPr>
        <w:t>"Відшкодування роботодавцем моральної шкоди працівнику провадиться у разі, якщо порушення його законних прав, у тому числі внаслідок дискримінації, мобінгу (цькування), факт якого підтверджено судовим рішенням, що набрало законної сили, призвели до моральних страждань, втрати нормальних життєвих зв’язків і вимагають від нього додаткових зусиль для організації свого життя".</w:t>
      </w:r>
    </w:p>
    <w:p w14:paraId="1AD83D55" w14:textId="690FA618" w:rsidR="00FE2E33" w:rsidRPr="003B6832" w:rsidRDefault="00FE2E33" w:rsidP="003B6832">
      <w:pPr>
        <w:jc w:val="both"/>
        <w:rPr>
          <w:rFonts w:ascii="Times New Roman" w:hAnsi="Times New Roman" w:cs="Times New Roman"/>
          <w:sz w:val="28"/>
          <w:szCs w:val="28"/>
        </w:rPr>
      </w:pPr>
    </w:p>
    <w:p w14:paraId="4FAB2A25" w14:textId="77777777" w:rsidR="00FE2E33" w:rsidRPr="003B6832" w:rsidRDefault="00FE2E33" w:rsidP="003B6832">
      <w:pPr>
        <w:jc w:val="both"/>
        <w:rPr>
          <w:rFonts w:ascii="Times New Roman" w:hAnsi="Times New Roman" w:cs="Times New Roman"/>
          <w:sz w:val="28"/>
          <w:szCs w:val="28"/>
        </w:rPr>
      </w:pPr>
      <w:r w:rsidRPr="003B6832">
        <w:rPr>
          <w:rFonts w:ascii="Times New Roman" w:hAnsi="Times New Roman" w:cs="Times New Roman"/>
          <w:sz w:val="28"/>
          <w:szCs w:val="28"/>
        </w:rPr>
        <w:t> </w:t>
      </w:r>
    </w:p>
    <w:p w14:paraId="7F1A821D" w14:textId="77777777" w:rsidR="00302241" w:rsidRPr="003B6832" w:rsidRDefault="00302241" w:rsidP="003B6832">
      <w:pPr>
        <w:jc w:val="both"/>
        <w:rPr>
          <w:rFonts w:ascii="Times New Roman" w:hAnsi="Times New Roman" w:cs="Times New Roman"/>
          <w:sz w:val="28"/>
          <w:szCs w:val="28"/>
        </w:rPr>
      </w:pPr>
    </w:p>
    <w:sectPr w:rsidR="00302241" w:rsidRPr="003B68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157AC"/>
    <w:multiLevelType w:val="multilevel"/>
    <w:tmpl w:val="92764FE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27"/>
    <w:rsid w:val="000F5DBD"/>
    <w:rsid w:val="00302241"/>
    <w:rsid w:val="003B6832"/>
    <w:rsid w:val="007B1D38"/>
    <w:rsid w:val="00810C6F"/>
    <w:rsid w:val="00857CB7"/>
    <w:rsid w:val="00876470"/>
    <w:rsid w:val="00CF5AE7"/>
    <w:rsid w:val="00DC601F"/>
    <w:rsid w:val="00E47E93"/>
    <w:rsid w:val="00EC05CD"/>
    <w:rsid w:val="00F111D7"/>
    <w:rsid w:val="00FE2E33"/>
    <w:rsid w:val="00FE5D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9962"/>
  <w15:chartTrackingRefBased/>
  <w15:docId w15:val="{B6458515-CC93-4BFD-8644-3FBC46B1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2E33"/>
    <w:rPr>
      <w:color w:val="0563C1" w:themeColor="hyperlink"/>
      <w:u w:val="single"/>
    </w:rPr>
  </w:style>
  <w:style w:type="character" w:styleId="a4">
    <w:name w:val="Unresolved Mention"/>
    <w:basedOn w:val="a0"/>
    <w:uiPriority w:val="99"/>
    <w:semiHidden/>
    <w:unhideWhenUsed/>
    <w:rsid w:val="00FE2E33"/>
    <w:rPr>
      <w:color w:val="605E5C"/>
      <w:shd w:val="clear" w:color="auto" w:fill="E1DFDD"/>
    </w:rPr>
  </w:style>
  <w:style w:type="paragraph" w:styleId="a5">
    <w:name w:val="No Spacing"/>
    <w:uiPriority w:val="1"/>
    <w:qFormat/>
    <w:rsid w:val="007B1D38"/>
    <w:pPr>
      <w:spacing w:after="0" w:line="240" w:lineRule="auto"/>
    </w:pPr>
  </w:style>
  <w:style w:type="paragraph" w:customStyle="1" w:styleId="rvps2">
    <w:name w:val="rvps2"/>
    <w:basedOn w:val="a"/>
    <w:rsid w:val="00EC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EC0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06473">
      <w:bodyDiv w:val="1"/>
      <w:marLeft w:val="0"/>
      <w:marRight w:val="0"/>
      <w:marTop w:val="0"/>
      <w:marBottom w:val="0"/>
      <w:divBdr>
        <w:top w:val="none" w:sz="0" w:space="0" w:color="auto"/>
        <w:left w:val="none" w:sz="0" w:space="0" w:color="auto"/>
        <w:bottom w:val="none" w:sz="0" w:space="0" w:color="auto"/>
        <w:right w:val="none" w:sz="0" w:space="0" w:color="auto"/>
      </w:divBdr>
    </w:div>
    <w:div w:id="293947491">
      <w:bodyDiv w:val="1"/>
      <w:marLeft w:val="0"/>
      <w:marRight w:val="0"/>
      <w:marTop w:val="0"/>
      <w:marBottom w:val="0"/>
      <w:divBdr>
        <w:top w:val="none" w:sz="0" w:space="0" w:color="auto"/>
        <w:left w:val="none" w:sz="0" w:space="0" w:color="auto"/>
        <w:bottom w:val="none" w:sz="0" w:space="0" w:color="auto"/>
        <w:right w:val="none" w:sz="0" w:space="0" w:color="auto"/>
      </w:divBdr>
    </w:div>
    <w:div w:id="1183976675">
      <w:bodyDiv w:val="1"/>
      <w:marLeft w:val="0"/>
      <w:marRight w:val="0"/>
      <w:marTop w:val="0"/>
      <w:marBottom w:val="0"/>
      <w:divBdr>
        <w:top w:val="none" w:sz="0" w:space="0" w:color="auto"/>
        <w:left w:val="none" w:sz="0" w:space="0" w:color="auto"/>
        <w:bottom w:val="none" w:sz="0" w:space="0" w:color="auto"/>
        <w:right w:val="none" w:sz="0" w:space="0" w:color="auto"/>
      </w:divBdr>
      <w:divsChild>
        <w:div w:id="2014992152">
          <w:marLeft w:val="0"/>
          <w:marRight w:val="0"/>
          <w:marTop w:val="0"/>
          <w:marBottom w:val="0"/>
          <w:divBdr>
            <w:top w:val="none" w:sz="0" w:space="0" w:color="auto"/>
            <w:left w:val="none" w:sz="0" w:space="0" w:color="auto"/>
            <w:bottom w:val="none" w:sz="0" w:space="0" w:color="auto"/>
            <w:right w:val="none" w:sz="0" w:space="0" w:color="auto"/>
          </w:divBdr>
          <w:divsChild>
            <w:div w:id="1151561822">
              <w:marLeft w:val="0"/>
              <w:marRight w:val="0"/>
              <w:marTop w:val="0"/>
              <w:marBottom w:val="0"/>
              <w:divBdr>
                <w:top w:val="none" w:sz="0" w:space="0" w:color="auto"/>
                <w:left w:val="none" w:sz="0" w:space="0" w:color="auto"/>
                <w:bottom w:val="none" w:sz="0" w:space="0" w:color="auto"/>
                <w:right w:val="none" w:sz="0" w:space="0" w:color="auto"/>
              </w:divBdr>
              <w:divsChild>
                <w:div w:id="1073504975">
                  <w:marLeft w:val="0"/>
                  <w:marRight w:val="0"/>
                  <w:marTop w:val="0"/>
                  <w:marBottom w:val="0"/>
                  <w:divBdr>
                    <w:top w:val="none" w:sz="0" w:space="0" w:color="auto"/>
                    <w:left w:val="none" w:sz="0" w:space="0" w:color="auto"/>
                    <w:bottom w:val="none" w:sz="0" w:space="0" w:color="auto"/>
                    <w:right w:val="none" w:sz="0" w:space="0" w:color="auto"/>
                  </w:divBdr>
                  <w:divsChild>
                    <w:div w:id="1759448523">
                      <w:marLeft w:val="0"/>
                      <w:marRight w:val="0"/>
                      <w:marTop w:val="0"/>
                      <w:marBottom w:val="0"/>
                      <w:divBdr>
                        <w:top w:val="none" w:sz="0" w:space="0" w:color="auto"/>
                        <w:left w:val="none" w:sz="0" w:space="0" w:color="auto"/>
                        <w:bottom w:val="none" w:sz="0" w:space="0" w:color="auto"/>
                        <w:right w:val="none" w:sz="0" w:space="0" w:color="auto"/>
                      </w:divBdr>
                      <w:divsChild>
                        <w:div w:id="1504779799">
                          <w:marLeft w:val="0"/>
                          <w:marRight w:val="0"/>
                          <w:marTop w:val="0"/>
                          <w:marBottom w:val="0"/>
                          <w:divBdr>
                            <w:top w:val="none" w:sz="0" w:space="0" w:color="auto"/>
                            <w:left w:val="none" w:sz="0" w:space="0" w:color="auto"/>
                            <w:bottom w:val="none" w:sz="0" w:space="0" w:color="auto"/>
                            <w:right w:val="none" w:sz="0" w:space="0" w:color="auto"/>
                          </w:divBdr>
                          <w:divsChild>
                            <w:div w:id="1796868839">
                              <w:marLeft w:val="0"/>
                              <w:marRight w:val="0"/>
                              <w:marTop w:val="0"/>
                              <w:marBottom w:val="0"/>
                              <w:divBdr>
                                <w:top w:val="none" w:sz="0" w:space="0" w:color="auto"/>
                                <w:left w:val="none" w:sz="0" w:space="0" w:color="auto"/>
                                <w:bottom w:val="none" w:sz="0" w:space="0" w:color="auto"/>
                                <w:right w:val="none" w:sz="0" w:space="0" w:color="auto"/>
                              </w:divBdr>
                              <w:divsChild>
                                <w:div w:id="10727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14134">
      <w:bodyDiv w:val="1"/>
      <w:marLeft w:val="0"/>
      <w:marRight w:val="0"/>
      <w:marTop w:val="0"/>
      <w:marBottom w:val="0"/>
      <w:divBdr>
        <w:top w:val="none" w:sz="0" w:space="0" w:color="auto"/>
        <w:left w:val="none" w:sz="0" w:space="0" w:color="auto"/>
        <w:bottom w:val="none" w:sz="0" w:space="0" w:color="auto"/>
        <w:right w:val="none" w:sz="0" w:space="0" w:color="auto"/>
      </w:divBdr>
    </w:div>
    <w:div w:id="18079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2-08" TargetMode="External"/><Relationship Id="rId3" Type="http://schemas.openxmlformats.org/officeDocument/2006/relationships/settings" Target="settings.xml"/><Relationship Id="rId7" Type="http://schemas.openxmlformats.org/officeDocument/2006/relationships/hyperlink" Target="https://zakon.rada.gov.ua/laws/show/322-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22-08" TargetMode="External"/><Relationship Id="rId11" Type="http://schemas.openxmlformats.org/officeDocument/2006/relationships/theme" Target="theme/theme1.xml"/><Relationship Id="rId5" Type="http://schemas.openxmlformats.org/officeDocument/2006/relationships/hyperlink" Target="https://ips.ligazakon.net/document/t22275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322-0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4442</Words>
  <Characters>2533</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10</cp:revision>
  <dcterms:created xsi:type="dcterms:W3CDTF">2024-03-01T07:49:00Z</dcterms:created>
  <dcterms:modified xsi:type="dcterms:W3CDTF">2024-03-01T10:35:00Z</dcterms:modified>
</cp:coreProperties>
</file>